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 (Resolving Disputes):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34.4 – Conduct of Arbitration. </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“Working Day”: reference to “England and Wales” replaced by “Scotland”</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Annex 1 - Form of Guarantee: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WHEREAS (B) “deed” replaced by “contract”</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Call-Off Schedules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240" w:lineRule="auto"/>
        <w:ind w:left="144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Ndicc89d0hXybYPhGyJwkor+g==">CgMxLjAyCWguMzBqMHpsbDIIaC5namRneHM4AHIhMXA4WGhQZHhhdzFabi1KdkxaYjBMVmIyVzJSdHJzM1VW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